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C34E6" w14:textId="4D3D00F7" w:rsidR="005D501F" w:rsidRPr="005D501F" w:rsidRDefault="005D501F" w:rsidP="005D501F">
      <w:pPr>
        <w:pStyle w:val="BodyText"/>
        <w:spacing w:before="240" w:after="120" w:line="252" w:lineRule="auto"/>
        <w:ind w:firstLine="0"/>
        <w:rPr>
          <w:sz w:val="22"/>
          <w:szCs w:val="22"/>
        </w:rPr>
      </w:pPr>
      <w:r w:rsidRPr="005D501F">
        <w:rPr>
          <w:sz w:val="22"/>
          <w:szCs w:val="22"/>
        </w:rPr>
        <w:t xml:space="preserve">Legacy Road LLC (“Legacy Road”) maintains physical, electronic, and procedural safeguards that comply with federal standards to protect its clients’ nonpublic personal information (“information”).  Through this policy and its underlying procedures, </w:t>
      </w:r>
      <w:r>
        <w:rPr>
          <w:sz w:val="22"/>
          <w:szCs w:val="22"/>
        </w:rPr>
        <w:t>Legacy Road</w:t>
      </w:r>
      <w:r w:rsidRPr="005D501F">
        <w:rPr>
          <w:sz w:val="22"/>
          <w:szCs w:val="22"/>
        </w:rPr>
        <w:t xml:space="preserve"> attempts to secure the confidentiality of customer records and information and protect against anticipated threats or hazards to the security or integrity of customer records and information. </w:t>
      </w:r>
    </w:p>
    <w:p w14:paraId="41E64F65" w14:textId="48FCFFAC" w:rsidR="005D501F" w:rsidRPr="005D501F" w:rsidRDefault="005D501F" w:rsidP="005D501F">
      <w:pPr>
        <w:pStyle w:val="BodyText"/>
        <w:spacing w:before="240" w:after="120" w:line="252" w:lineRule="auto"/>
        <w:ind w:firstLine="0"/>
        <w:rPr>
          <w:sz w:val="22"/>
          <w:szCs w:val="22"/>
        </w:rPr>
      </w:pPr>
      <w:r w:rsidRPr="005D501F">
        <w:rPr>
          <w:sz w:val="22"/>
          <w:szCs w:val="22"/>
        </w:rPr>
        <w:t>It is the policy of Legacy Road to restrict access to and/or the sharing of all current and former clients’ information (i.e., information and records pertaining to personal background including social security number and address, investment objectives, financial situation, financial planning issues, tax information/returns, investment holdings, account numbers, account balances, etc.) to those employees and affiliated/nonaffiliated entities who need to know that information in furtherance of the client’s engagement of Legacy Road. </w:t>
      </w:r>
    </w:p>
    <w:p w14:paraId="3B80A87D" w14:textId="60CE7057" w:rsidR="005D501F" w:rsidRPr="005D501F" w:rsidRDefault="005D501F" w:rsidP="005D501F">
      <w:pPr>
        <w:pStyle w:val="BodyText"/>
        <w:spacing w:before="240" w:after="120" w:line="252" w:lineRule="auto"/>
        <w:ind w:firstLine="0"/>
        <w:rPr>
          <w:sz w:val="22"/>
          <w:szCs w:val="22"/>
        </w:rPr>
      </w:pPr>
      <w:r w:rsidRPr="005D501F">
        <w:rPr>
          <w:sz w:val="22"/>
          <w:szCs w:val="22"/>
        </w:rPr>
        <w:t>Legacy Road shall disclose, as necessary, the client’s information: (1) to unaffiliated service providers and vendors in furtherance of establishing, maintaining, and reporting on the client’s Legacy Road relationship (i.e., account custodian, record keeper, technology, performance reporting, customer relationship management software, proxy voting, insurance, independent managers, sub-advisers, etc.); (2) required to do so by judicial or regulatory process; or (3) otherwise permitted to do so in accordance with applicable federal and/or state privacy regulations.</w:t>
      </w:r>
    </w:p>
    <w:p w14:paraId="51CC923C" w14:textId="092A064C" w:rsidR="005D501F" w:rsidRPr="005D501F" w:rsidRDefault="005D501F" w:rsidP="005D501F">
      <w:pPr>
        <w:pStyle w:val="BodyText"/>
        <w:spacing w:before="240" w:after="120" w:line="252" w:lineRule="auto"/>
        <w:ind w:firstLine="0"/>
        <w:rPr>
          <w:sz w:val="22"/>
          <w:szCs w:val="22"/>
        </w:rPr>
      </w:pPr>
      <w:r w:rsidRPr="005D501F">
        <w:rPr>
          <w:sz w:val="22"/>
          <w:szCs w:val="22"/>
        </w:rPr>
        <w:t>However, Legacy Road does not, and shall not, disclose or share information with any affiliated or nonaffiliated persons, entities or service providers for marketing or any other purposes or reasons not referenced above.</w:t>
      </w:r>
    </w:p>
    <w:p w14:paraId="47317CDC" w14:textId="3A19ACA4" w:rsidR="00604B97" w:rsidRPr="005D501F" w:rsidRDefault="00604B97" w:rsidP="00E67AD0">
      <w:pPr>
        <w:pStyle w:val="BodyText"/>
        <w:spacing w:before="240" w:after="120" w:line="252" w:lineRule="auto"/>
        <w:ind w:left="0" w:right="0" w:firstLine="0"/>
        <w:rPr>
          <w:iCs/>
          <w:sz w:val="22"/>
          <w:szCs w:val="22"/>
        </w:rPr>
      </w:pPr>
      <w:r w:rsidRPr="005D501F">
        <w:rPr>
          <w:b/>
          <w:iCs/>
          <w:sz w:val="22"/>
          <w:szCs w:val="22"/>
        </w:rPr>
        <w:t>California Residents</w:t>
      </w:r>
    </w:p>
    <w:p w14:paraId="0E30DD4D" w14:textId="3286F402" w:rsidR="00604B97" w:rsidRPr="005D501F" w:rsidRDefault="00604B97" w:rsidP="005D501F">
      <w:pPr>
        <w:pStyle w:val="BodyText"/>
        <w:spacing w:before="0" w:after="120" w:line="252" w:lineRule="auto"/>
        <w:ind w:left="0" w:right="0" w:firstLine="0"/>
        <w:rPr>
          <w:sz w:val="22"/>
          <w:szCs w:val="22"/>
        </w:rPr>
      </w:pPr>
      <w:r w:rsidRPr="005D501F">
        <w:rPr>
          <w:sz w:val="22"/>
          <w:szCs w:val="22"/>
        </w:rPr>
        <w:t xml:space="preserve">If your personal information is protected by the California Consumer Privacy Act (CCPA), you may have certain rights in respect to your information, such as a right to additional transparency and access to the specific pieces of personal information that </w:t>
      </w:r>
      <w:r w:rsidR="00C112C2" w:rsidRPr="005D501F">
        <w:rPr>
          <w:sz w:val="22"/>
          <w:szCs w:val="22"/>
        </w:rPr>
        <w:t>Legacy Road</w:t>
      </w:r>
      <w:r w:rsidRPr="005D501F">
        <w:rPr>
          <w:sz w:val="22"/>
          <w:szCs w:val="22"/>
        </w:rPr>
        <w:t xml:space="preserve"> has collected about you. You also may have the right to submit a request for deletion of information under certain circumstances. To </w:t>
      </w:r>
      <w:proofErr w:type="gramStart"/>
      <w:r w:rsidRPr="005D501F">
        <w:rPr>
          <w:sz w:val="22"/>
          <w:szCs w:val="22"/>
        </w:rPr>
        <w:t>exercise</w:t>
      </w:r>
      <w:proofErr w:type="gramEnd"/>
      <w:r w:rsidRPr="005D501F">
        <w:rPr>
          <w:sz w:val="22"/>
          <w:szCs w:val="22"/>
        </w:rPr>
        <w:t xml:space="preserve"> your </w:t>
      </w:r>
      <w:proofErr w:type="gramStart"/>
      <w:r w:rsidRPr="005D501F">
        <w:rPr>
          <w:sz w:val="22"/>
          <w:szCs w:val="22"/>
        </w:rPr>
        <w:t>right</w:t>
      </w:r>
      <w:proofErr w:type="gramEnd"/>
      <w:r w:rsidRPr="005D501F">
        <w:rPr>
          <w:sz w:val="22"/>
          <w:szCs w:val="22"/>
        </w:rPr>
        <w:t xml:space="preserve">, please contact us at the email address or phone number below. Once we receive your request, we may verify it by requesting information to confirm your identity, including by asking you for additional information. If you would like to use an agent registered with the California Secretary of State to exercise your rights, we may request evidence that you have provided such agent with power of attorney or that the agent otherwise has valid written authority to submit requests to exercise rights on your behalf. Subject to applicable law, you may have a right not to be discriminated against for exercising your rights over your personal information. </w:t>
      </w:r>
      <w:r w:rsidR="00C112C2" w:rsidRPr="005D501F">
        <w:rPr>
          <w:sz w:val="22"/>
          <w:szCs w:val="22"/>
        </w:rPr>
        <w:t>Legacy Road</w:t>
      </w:r>
      <w:r w:rsidRPr="005D501F">
        <w:rPr>
          <w:sz w:val="22"/>
          <w:szCs w:val="22"/>
        </w:rPr>
        <w:t xml:space="preserve"> does not sell such personal information.</w:t>
      </w:r>
    </w:p>
    <w:p w14:paraId="1C72DB49" w14:textId="3F95CAD6" w:rsidR="00BE42AC" w:rsidRPr="005D501F" w:rsidRDefault="00E67AD0" w:rsidP="00E67AD0">
      <w:pPr>
        <w:spacing w:before="240" w:after="120" w:line="252" w:lineRule="auto"/>
        <w:rPr>
          <w:rFonts w:ascii="Times New Roman" w:hAnsi="Times New Roman" w:cs="Times New Roman"/>
          <w:b/>
        </w:rPr>
      </w:pPr>
      <w:r w:rsidRPr="005D501F">
        <w:rPr>
          <w:rFonts w:ascii="Times New Roman" w:hAnsi="Times New Roman" w:cs="Times New Roman"/>
          <w:b/>
        </w:rPr>
        <w:t xml:space="preserve">Questions, </w:t>
      </w:r>
      <w:r w:rsidR="00BE42AC" w:rsidRPr="005D501F">
        <w:rPr>
          <w:rFonts w:ascii="Times New Roman" w:hAnsi="Times New Roman" w:cs="Times New Roman"/>
          <w:b/>
        </w:rPr>
        <w:t>Modifying</w:t>
      </w:r>
      <w:r w:rsidR="00BE42AC" w:rsidRPr="005D501F">
        <w:rPr>
          <w:rFonts w:ascii="Times New Roman" w:hAnsi="Times New Roman" w:cs="Times New Roman"/>
          <w:b/>
          <w:spacing w:val="-3"/>
        </w:rPr>
        <w:t xml:space="preserve"> </w:t>
      </w:r>
      <w:r w:rsidR="00BE42AC" w:rsidRPr="005D501F">
        <w:rPr>
          <w:rFonts w:ascii="Times New Roman" w:hAnsi="Times New Roman" w:cs="Times New Roman"/>
          <w:b/>
        </w:rPr>
        <w:t>and</w:t>
      </w:r>
      <w:r w:rsidR="00BE42AC" w:rsidRPr="005D501F">
        <w:rPr>
          <w:rFonts w:ascii="Times New Roman" w:hAnsi="Times New Roman" w:cs="Times New Roman"/>
          <w:b/>
          <w:spacing w:val="-2"/>
        </w:rPr>
        <w:t xml:space="preserve"> </w:t>
      </w:r>
      <w:r w:rsidR="00BE42AC" w:rsidRPr="005D501F">
        <w:rPr>
          <w:rFonts w:ascii="Times New Roman" w:hAnsi="Times New Roman" w:cs="Times New Roman"/>
          <w:b/>
        </w:rPr>
        <w:t>Deleting</w:t>
      </w:r>
      <w:r w:rsidR="00BE42AC" w:rsidRPr="005D501F">
        <w:rPr>
          <w:rFonts w:ascii="Times New Roman" w:hAnsi="Times New Roman" w:cs="Times New Roman"/>
          <w:b/>
          <w:spacing w:val="-5"/>
        </w:rPr>
        <w:t xml:space="preserve"> </w:t>
      </w:r>
      <w:r w:rsidR="00BE42AC" w:rsidRPr="005D501F">
        <w:rPr>
          <w:rFonts w:ascii="Times New Roman" w:hAnsi="Times New Roman" w:cs="Times New Roman"/>
          <w:b/>
        </w:rPr>
        <w:t>Information</w:t>
      </w:r>
    </w:p>
    <w:p w14:paraId="4F43D36E" w14:textId="3A95986C" w:rsidR="00BE42AC" w:rsidRPr="005D501F" w:rsidRDefault="00BE42AC" w:rsidP="005D501F">
      <w:pPr>
        <w:pStyle w:val="BodyText"/>
        <w:spacing w:before="0" w:after="120" w:line="252" w:lineRule="auto"/>
        <w:ind w:left="0" w:right="0" w:firstLine="0"/>
        <w:rPr>
          <w:sz w:val="22"/>
          <w:szCs w:val="22"/>
        </w:rPr>
      </w:pPr>
      <w:r w:rsidRPr="005D501F">
        <w:rPr>
          <w:sz w:val="22"/>
          <w:szCs w:val="22"/>
        </w:rPr>
        <w:t xml:space="preserve">If </w:t>
      </w:r>
      <w:r w:rsidR="00604B97" w:rsidRPr="005D501F">
        <w:rPr>
          <w:sz w:val="22"/>
          <w:szCs w:val="22"/>
        </w:rPr>
        <w:t xml:space="preserve">you have any questions about this Notice or if </w:t>
      </w:r>
      <w:r w:rsidRPr="005D501F">
        <w:rPr>
          <w:sz w:val="22"/>
          <w:szCs w:val="22"/>
        </w:rPr>
        <w:t>you would like to review, modify or delete from our database any non-public personal</w:t>
      </w:r>
      <w:r w:rsidRPr="005D501F">
        <w:rPr>
          <w:spacing w:val="1"/>
          <w:sz w:val="22"/>
          <w:szCs w:val="22"/>
        </w:rPr>
        <w:t xml:space="preserve"> </w:t>
      </w:r>
      <w:r w:rsidRPr="005D501F">
        <w:rPr>
          <w:sz w:val="22"/>
          <w:szCs w:val="22"/>
        </w:rPr>
        <w:t>and financial information you previously submitted to us or have questions or concerns about its</w:t>
      </w:r>
      <w:r w:rsidRPr="005D501F">
        <w:rPr>
          <w:spacing w:val="1"/>
          <w:sz w:val="22"/>
          <w:szCs w:val="22"/>
        </w:rPr>
        <w:t xml:space="preserve"> </w:t>
      </w:r>
      <w:r w:rsidRPr="005D501F">
        <w:rPr>
          <w:sz w:val="22"/>
          <w:szCs w:val="22"/>
        </w:rPr>
        <w:t xml:space="preserve">handling, please let us know by contacting </w:t>
      </w:r>
      <w:r w:rsidR="00C112C2" w:rsidRPr="005D501F">
        <w:rPr>
          <w:sz w:val="22"/>
          <w:szCs w:val="22"/>
        </w:rPr>
        <w:t>Laurence Richards</w:t>
      </w:r>
      <w:r w:rsidRPr="005D501F">
        <w:rPr>
          <w:sz w:val="22"/>
          <w:szCs w:val="22"/>
        </w:rPr>
        <w:t xml:space="preserve">, at </w:t>
      </w:r>
      <w:r w:rsidR="00C112C2" w:rsidRPr="005D501F">
        <w:rPr>
          <w:sz w:val="22"/>
          <w:szCs w:val="22"/>
        </w:rPr>
        <w:t>917-626-1042</w:t>
      </w:r>
      <w:r w:rsidR="00604B97" w:rsidRPr="005D501F">
        <w:rPr>
          <w:sz w:val="22"/>
          <w:szCs w:val="22"/>
        </w:rPr>
        <w:t xml:space="preserve"> or </w:t>
      </w:r>
      <w:r w:rsidR="00C112C2" w:rsidRPr="005D501F">
        <w:rPr>
          <w:sz w:val="22"/>
          <w:szCs w:val="22"/>
        </w:rPr>
        <w:t>lbr@legacyroad</w:t>
      </w:r>
      <w:r w:rsidR="00FC797D" w:rsidRPr="005D501F">
        <w:rPr>
          <w:sz w:val="22"/>
          <w:szCs w:val="22"/>
        </w:rPr>
        <w:t>.com</w:t>
      </w:r>
      <w:r w:rsidRPr="005D501F">
        <w:rPr>
          <w:sz w:val="22"/>
          <w:szCs w:val="22"/>
        </w:rPr>
        <w:t>. Please note that any</w:t>
      </w:r>
      <w:r w:rsidRPr="005D501F">
        <w:rPr>
          <w:spacing w:val="1"/>
          <w:sz w:val="22"/>
          <w:szCs w:val="22"/>
        </w:rPr>
        <w:t xml:space="preserve"> </w:t>
      </w:r>
      <w:r w:rsidRPr="005D501F">
        <w:rPr>
          <w:sz w:val="22"/>
          <w:szCs w:val="22"/>
        </w:rPr>
        <w:t>data</w:t>
      </w:r>
      <w:r w:rsidRPr="005D501F">
        <w:rPr>
          <w:spacing w:val="-13"/>
          <w:sz w:val="22"/>
          <w:szCs w:val="22"/>
        </w:rPr>
        <w:t xml:space="preserve"> </w:t>
      </w:r>
      <w:r w:rsidRPr="005D501F">
        <w:rPr>
          <w:sz w:val="22"/>
          <w:szCs w:val="22"/>
        </w:rPr>
        <w:t>that</w:t>
      </w:r>
      <w:r w:rsidRPr="005D501F">
        <w:rPr>
          <w:spacing w:val="-12"/>
          <w:sz w:val="22"/>
          <w:szCs w:val="22"/>
        </w:rPr>
        <w:t xml:space="preserve"> </w:t>
      </w:r>
      <w:r w:rsidRPr="005D501F">
        <w:rPr>
          <w:sz w:val="22"/>
          <w:szCs w:val="22"/>
        </w:rPr>
        <w:t>we</w:t>
      </w:r>
      <w:r w:rsidRPr="005D501F">
        <w:rPr>
          <w:spacing w:val="-12"/>
          <w:sz w:val="22"/>
          <w:szCs w:val="22"/>
        </w:rPr>
        <w:t xml:space="preserve"> </w:t>
      </w:r>
      <w:r w:rsidRPr="005D501F">
        <w:rPr>
          <w:sz w:val="22"/>
          <w:szCs w:val="22"/>
        </w:rPr>
        <w:t>have</w:t>
      </w:r>
      <w:r w:rsidRPr="005D501F">
        <w:rPr>
          <w:spacing w:val="-13"/>
          <w:sz w:val="22"/>
          <w:szCs w:val="22"/>
        </w:rPr>
        <w:t xml:space="preserve"> </w:t>
      </w:r>
      <w:r w:rsidRPr="005D501F">
        <w:rPr>
          <w:sz w:val="22"/>
          <w:szCs w:val="22"/>
        </w:rPr>
        <w:t>copied</w:t>
      </w:r>
      <w:r w:rsidRPr="005D501F">
        <w:rPr>
          <w:spacing w:val="-11"/>
          <w:sz w:val="22"/>
          <w:szCs w:val="22"/>
        </w:rPr>
        <w:t xml:space="preserve"> </w:t>
      </w:r>
      <w:r w:rsidRPr="005D501F">
        <w:rPr>
          <w:sz w:val="22"/>
          <w:szCs w:val="22"/>
        </w:rPr>
        <w:t>may</w:t>
      </w:r>
      <w:r w:rsidRPr="005D501F">
        <w:rPr>
          <w:spacing w:val="-12"/>
          <w:sz w:val="22"/>
          <w:szCs w:val="22"/>
        </w:rPr>
        <w:t xml:space="preserve"> </w:t>
      </w:r>
      <w:r w:rsidRPr="005D501F">
        <w:rPr>
          <w:sz w:val="22"/>
          <w:szCs w:val="22"/>
        </w:rPr>
        <w:t>remain</w:t>
      </w:r>
      <w:r w:rsidRPr="005D501F">
        <w:rPr>
          <w:spacing w:val="-11"/>
          <w:sz w:val="22"/>
          <w:szCs w:val="22"/>
        </w:rPr>
        <w:t xml:space="preserve"> </w:t>
      </w:r>
      <w:r w:rsidRPr="005D501F">
        <w:rPr>
          <w:sz w:val="22"/>
          <w:szCs w:val="22"/>
        </w:rPr>
        <w:t>in</w:t>
      </w:r>
      <w:r w:rsidRPr="005D501F">
        <w:rPr>
          <w:spacing w:val="-12"/>
          <w:sz w:val="22"/>
          <w:szCs w:val="22"/>
        </w:rPr>
        <w:t xml:space="preserve"> </w:t>
      </w:r>
      <w:r w:rsidRPr="005D501F">
        <w:rPr>
          <w:sz w:val="22"/>
          <w:szCs w:val="22"/>
        </w:rPr>
        <w:t>back-up</w:t>
      </w:r>
      <w:r w:rsidRPr="005D501F">
        <w:rPr>
          <w:spacing w:val="-11"/>
          <w:sz w:val="22"/>
          <w:szCs w:val="22"/>
        </w:rPr>
        <w:t xml:space="preserve"> </w:t>
      </w:r>
      <w:r w:rsidRPr="005D501F">
        <w:rPr>
          <w:sz w:val="22"/>
          <w:szCs w:val="22"/>
        </w:rPr>
        <w:t>storage</w:t>
      </w:r>
      <w:r w:rsidRPr="005D501F">
        <w:rPr>
          <w:spacing w:val="-13"/>
          <w:sz w:val="22"/>
          <w:szCs w:val="22"/>
        </w:rPr>
        <w:t xml:space="preserve"> </w:t>
      </w:r>
      <w:r w:rsidRPr="005D501F">
        <w:rPr>
          <w:sz w:val="22"/>
          <w:szCs w:val="22"/>
        </w:rPr>
        <w:t>for</w:t>
      </w:r>
      <w:r w:rsidRPr="005D501F">
        <w:rPr>
          <w:spacing w:val="-12"/>
          <w:sz w:val="22"/>
          <w:szCs w:val="22"/>
        </w:rPr>
        <w:t xml:space="preserve"> </w:t>
      </w:r>
      <w:r w:rsidRPr="005D501F">
        <w:rPr>
          <w:sz w:val="22"/>
          <w:szCs w:val="22"/>
        </w:rPr>
        <w:t>some</w:t>
      </w:r>
      <w:r w:rsidRPr="005D501F">
        <w:rPr>
          <w:spacing w:val="-13"/>
          <w:sz w:val="22"/>
          <w:szCs w:val="22"/>
        </w:rPr>
        <w:t xml:space="preserve"> </w:t>
      </w:r>
      <w:proofErr w:type="gramStart"/>
      <w:r w:rsidRPr="005D501F">
        <w:rPr>
          <w:sz w:val="22"/>
          <w:szCs w:val="22"/>
        </w:rPr>
        <w:t>period</w:t>
      </w:r>
      <w:r w:rsidRPr="005D501F">
        <w:rPr>
          <w:spacing w:val="-12"/>
          <w:sz w:val="22"/>
          <w:szCs w:val="22"/>
        </w:rPr>
        <w:t xml:space="preserve"> </w:t>
      </w:r>
      <w:r w:rsidRPr="005D501F">
        <w:rPr>
          <w:sz w:val="22"/>
          <w:szCs w:val="22"/>
        </w:rPr>
        <w:t>of</w:t>
      </w:r>
      <w:r w:rsidRPr="005D501F">
        <w:rPr>
          <w:spacing w:val="-12"/>
          <w:sz w:val="22"/>
          <w:szCs w:val="22"/>
        </w:rPr>
        <w:t xml:space="preserve"> </w:t>
      </w:r>
      <w:r w:rsidRPr="005D501F">
        <w:rPr>
          <w:sz w:val="22"/>
          <w:szCs w:val="22"/>
        </w:rPr>
        <w:t>time</w:t>
      </w:r>
      <w:proofErr w:type="gramEnd"/>
      <w:r w:rsidRPr="005D501F">
        <w:rPr>
          <w:spacing w:val="-13"/>
          <w:sz w:val="22"/>
          <w:szCs w:val="22"/>
        </w:rPr>
        <w:t xml:space="preserve"> </w:t>
      </w:r>
      <w:r w:rsidRPr="005D501F">
        <w:rPr>
          <w:sz w:val="22"/>
          <w:szCs w:val="22"/>
        </w:rPr>
        <w:t>after</w:t>
      </w:r>
      <w:r w:rsidRPr="005D501F">
        <w:rPr>
          <w:spacing w:val="-12"/>
          <w:sz w:val="22"/>
          <w:szCs w:val="22"/>
        </w:rPr>
        <w:t xml:space="preserve"> </w:t>
      </w:r>
      <w:r w:rsidRPr="005D501F">
        <w:rPr>
          <w:sz w:val="22"/>
          <w:szCs w:val="22"/>
        </w:rPr>
        <w:t>your</w:t>
      </w:r>
      <w:r w:rsidRPr="005D501F">
        <w:rPr>
          <w:spacing w:val="-13"/>
          <w:sz w:val="22"/>
          <w:szCs w:val="22"/>
        </w:rPr>
        <w:t xml:space="preserve"> </w:t>
      </w:r>
      <w:r w:rsidRPr="005D501F">
        <w:rPr>
          <w:sz w:val="22"/>
          <w:szCs w:val="22"/>
        </w:rPr>
        <w:t>request.</w:t>
      </w:r>
      <w:r w:rsidR="005D501F" w:rsidRPr="005D501F">
        <w:rPr>
          <w:sz w:val="22"/>
          <w:szCs w:val="22"/>
        </w:rPr>
        <w:t xml:space="preserve"> </w:t>
      </w:r>
      <w:r w:rsidRPr="005D501F">
        <w:rPr>
          <w:spacing w:val="-57"/>
          <w:sz w:val="22"/>
          <w:szCs w:val="22"/>
        </w:rPr>
        <w:t xml:space="preserve"> </w:t>
      </w:r>
      <w:r w:rsidR="005D501F" w:rsidRPr="005D501F">
        <w:rPr>
          <w:spacing w:val="-57"/>
          <w:sz w:val="22"/>
          <w:szCs w:val="22"/>
        </w:rPr>
        <w:t xml:space="preserve"> </w:t>
      </w:r>
      <w:r w:rsidRPr="005D501F">
        <w:rPr>
          <w:sz w:val="22"/>
          <w:szCs w:val="22"/>
        </w:rPr>
        <w:t>Also, please note that we will maintain data whenever we are required to do so by law or in</w:t>
      </w:r>
      <w:r w:rsidRPr="005D501F">
        <w:rPr>
          <w:spacing w:val="1"/>
          <w:sz w:val="22"/>
          <w:szCs w:val="22"/>
        </w:rPr>
        <w:t xml:space="preserve"> </w:t>
      </w:r>
      <w:r w:rsidRPr="005D501F">
        <w:rPr>
          <w:sz w:val="22"/>
          <w:szCs w:val="22"/>
        </w:rPr>
        <w:t>connection</w:t>
      </w:r>
      <w:r w:rsidRPr="005D501F">
        <w:rPr>
          <w:spacing w:val="-1"/>
          <w:sz w:val="22"/>
          <w:szCs w:val="22"/>
        </w:rPr>
        <w:t xml:space="preserve"> </w:t>
      </w:r>
      <w:r w:rsidRPr="005D501F">
        <w:rPr>
          <w:sz w:val="22"/>
          <w:szCs w:val="22"/>
        </w:rPr>
        <w:t>with the</w:t>
      </w:r>
      <w:r w:rsidRPr="005D501F">
        <w:rPr>
          <w:spacing w:val="-1"/>
          <w:sz w:val="22"/>
          <w:szCs w:val="22"/>
        </w:rPr>
        <w:t xml:space="preserve"> </w:t>
      </w:r>
      <w:r w:rsidRPr="005D501F">
        <w:rPr>
          <w:sz w:val="22"/>
          <w:szCs w:val="22"/>
        </w:rPr>
        <w:t>investigation, assertion</w:t>
      </w:r>
      <w:r w:rsidRPr="005D501F">
        <w:rPr>
          <w:spacing w:val="-1"/>
          <w:sz w:val="22"/>
          <w:szCs w:val="22"/>
        </w:rPr>
        <w:t xml:space="preserve"> </w:t>
      </w:r>
      <w:r w:rsidRPr="005D501F">
        <w:rPr>
          <w:sz w:val="22"/>
          <w:szCs w:val="22"/>
        </w:rPr>
        <w:t>and defense</w:t>
      </w:r>
      <w:r w:rsidRPr="005D501F">
        <w:rPr>
          <w:spacing w:val="-1"/>
          <w:sz w:val="22"/>
          <w:szCs w:val="22"/>
        </w:rPr>
        <w:t xml:space="preserve"> </w:t>
      </w:r>
      <w:r w:rsidRPr="005D501F">
        <w:rPr>
          <w:sz w:val="22"/>
          <w:szCs w:val="22"/>
        </w:rPr>
        <w:t>of</w:t>
      </w:r>
      <w:r w:rsidRPr="005D501F">
        <w:rPr>
          <w:spacing w:val="-1"/>
          <w:sz w:val="22"/>
          <w:szCs w:val="22"/>
        </w:rPr>
        <w:t xml:space="preserve"> </w:t>
      </w:r>
      <w:r w:rsidRPr="005D501F">
        <w:rPr>
          <w:sz w:val="22"/>
          <w:szCs w:val="22"/>
        </w:rPr>
        <w:t>legal</w:t>
      </w:r>
      <w:r w:rsidRPr="005D501F">
        <w:rPr>
          <w:spacing w:val="-1"/>
          <w:sz w:val="22"/>
          <w:szCs w:val="22"/>
        </w:rPr>
        <w:t xml:space="preserve"> </w:t>
      </w:r>
      <w:r w:rsidRPr="005D501F">
        <w:rPr>
          <w:sz w:val="22"/>
          <w:szCs w:val="22"/>
        </w:rPr>
        <w:t>rights.</w:t>
      </w:r>
    </w:p>
    <w:sectPr w:rsidR="00BE42AC" w:rsidRPr="005D501F" w:rsidSect="00E67AD0">
      <w:headerReference w:type="default" r:id="rId7"/>
      <w:footerReference w:type="default" r:id="rId8"/>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AE70B" w14:textId="77777777" w:rsidR="007F561B" w:rsidRDefault="007F561B" w:rsidP="00BE42AC">
      <w:pPr>
        <w:spacing w:after="0" w:line="240" w:lineRule="auto"/>
      </w:pPr>
      <w:r>
        <w:separator/>
      </w:r>
    </w:p>
  </w:endnote>
  <w:endnote w:type="continuationSeparator" w:id="0">
    <w:p w14:paraId="7141FEC2" w14:textId="77777777" w:rsidR="007F561B" w:rsidRDefault="007F561B" w:rsidP="00BE4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57CB" w14:textId="042D8BD3" w:rsidR="00C124A0" w:rsidRPr="00E67AD0" w:rsidRDefault="00C124A0" w:rsidP="00C124A0">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96E9A" w14:textId="77777777" w:rsidR="007F561B" w:rsidRDefault="007F561B" w:rsidP="00BE42AC">
      <w:pPr>
        <w:spacing w:after="0" w:line="240" w:lineRule="auto"/>
      </w:pPr>
      <w:r>
        <w:separator/>
      </w:r>
    </w:p>
  </w:footnote>
  <w:footnote w:type="continuationSeparator" w:id="0">
    <w:p w14:paraId="0E4C9A64" w14:textId="77777777" w:rsidR="007F561B" w:rsidRDefault="007F561B" w:rsidP="00BE4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C6F6" w14:textId="27948256" w:rsidR="00C112C2" w:rsidRPr="00C112C2" w:rsidRDefault="00B07ED5" w:rsidP="005D501F">
    <w:pPr>
      <w:spacing w:after="0" w:line="240" w:lineRule="auto"/>
      <w:ind w:left="14"/>
      <w:jc w:val="center"/>
      <w:rPr>
        <w:rFonts w:ascii="Times New Roman" w:hAnsi="Times New Roman" w:cs="Times New Roman"/>
        <w:b/>
        <w:sz w:val="24"/>
      </w:rPr>
    </w:pPr>
    <w:r w:rsidRPr="00B07ED5">
      <w:rPr>
        <w:rFonts w:ascii="Times New Roman" w:hAnsi="Times New Roman" w:cs="Times New Roman"/>
        <w:b/>
        <w:noProof/>
        <w:sz w:val="24"/>
      </w:rPr>
      <mc:AlternateContent>
        <mc:Choice Requires="wps">
          <w:drawing>
            <wp:anchor distT="0" distB="0" distL="114300" distR="114300" simplePos="0" relativeHeight="251658240" behindDoc="0" locked="0" layoutInCell="1" allowOverlap="1" wp14:anchorId="7413ED95" wp14:editId="35478B11">
              <wp:simplePos x="0" y="0"/>
              <wp:positionH relativeFrom="column">
                <wp:posOffset>5753100</wp:posOffset>
              </wp:positionH>
              <wp:positionV relativeFrom="paragraph">
                <wp:posOffset>-323850</wp:posOffset>
              </wp:positionV>
              <wp:extent cx="971550" cy="2762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76225"/>
                      </a:xfrm>
                      <a:prstGeom prst="rect">
                        <a:avLst/>
                      </a:prstGeom>
                      <a:solidFill>
                        <a:srgbClr val="FFFFFF"/>
                      </a:solidFill>
                      <a:ln w="9525">
                        <a:noFill/>
                        <a:miter lim="800000"/>
                        <a:headEnd/>
                        <a:tailEnd/>
                      </a:ln>
                    </wps:spPr>
                    <wps:txbx>
                      <w:txbxContent>
                        <w:p w14:paraId="567B6E17" w14:textId="21156410" w:rsidR="00B07ED5" w:rsidRPr="00B07ED5" w:rsidRDefault="00B07ED5" w:rsidP="00B07ED5">
                          <w:pPr>
                            <w:rPr>
                              <w:sz w:val="16"/>
                              <w:szCs w:val="16"/>
                            </w:rPr>
                          </w:pPr>
                          <w:r w:rsidRPr="00B07ED5">
                            <w:rPr>
                              <w:sz w:val="16"/>
                              <w:szCs w:val="16"/>
                            </w:rPr>
                            <w:t>10/22/2025</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413ED95" id="_x0000_t202" coordsize="21600,21600" o:spt="202" path="m,l,21600r21600,l21600,xe">
              <v:stroke joinstyle="miter"/>
              <v:path gradientshapeok="t" o:connecttype="rect"/>
            </v:shapetype>
            <v:shape id="Text Box 2" o:spid="_x0000_s1026" type="#_x0000_t202" style="position:absolute;left:0;text-align:left;margin-left:453pt;margin-top:-25.5pt;width:76.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" stroked="f">
              <v:textbox>
                <w:txbxContent>
                  <w:p w14:paraId="567B6E17" w14:textId="21156410" w:rsidR="00B07ED5" w:rsidRPr="00B07ED5" w:rsidRDefault="00B07ED5" w:rsidP="00B07ED5">
                    <w:pPr>
                      <w:rPr>
                        <w:sz w:val="16"/>
                        <w:szCs w:val="16"/>
                      </w:rPr>
                    </w:pPr>
                    <w:r w:rsidRPr="00B07ED5">
                      <w:rPr>
                        <w:sz w:val="16"/>
                        <w:szCs w:val="16"/>
                      </w:rPr>
                      <w:t>10/22/2025</w:t>
                    </w:r>
                  </w:p>
                </w:txbxContent>
              </v:textbox>
            </v:shape>
          </w:pict>
        </mc:Fallback>
      </mc:AlternateContent>
    </w:r>
    <w:r w:rsidR="00C112C2" w:rsidRPr="00C112C2">
      <w:rPr>
        <w:rFonts w:ascii="Times New Roman" w:hAnsi="Times New Roman" w:cs="Times New Roman"/>
        <w:b/>
        <w:sz w:val="24"/>
      </w:rPr>
      <w:t>LEGACY ROAD LLC</w:t>
    </w:r>
  </w:p>
  <w:p w14:paraId="5D09850F" w14:textId="00F354DB" w:rsidR="00C112C2" w:rsidRPr="00BE42AC" w:rsidRDefault="00C112C2" w:rsidP="005D501F">
    <w:pPr>
      <w:spacing w:after="0" w:line="240" w:lineRule="auto"/>
      <w:ind w:left="14"/>
      <w:jc w:val="center"/>
      <w:rPr>
        <w:rFonts w:ascii="Times New Roman" w:hAnsi="Times New Roman" w:cs="Times New Roman"/>
        <w:b/>
        <w:sz w:val="24"/>
      </w:rPr>
    </w:pPr>
    <w:r w:rsidRPr="00BE42AC">
      <w:rPr>
        <w:rFonts w:ascii="Times New Roman" w:hAnsi="Times New Roman" w:cs="Times New Roman"/>
        <w:b/>
        <w:sz w:val="24"/>
        <w:u w:val="single"/>
      </w:rPr>
      <w:t>PRIVACY</w:t>
    </w:r>
    <w:r w:rsidRPr="00BE42AC">
      <w:rPr>
        <w:rFonts w:ascii="Times New Roman" w:hAnsi="Times New Roman" w:cs="Times New Roman"/>
        <w:b/>
        <w:spacing w:val="-7"/>
        <w:sz w:val="24"/>
        <w:u w:val="single"/>
      </w:rPr>
      <w:t xml:space="preserve"> </w:t>
    </w:r>
    <w:r w:rsidRPr="00BE42AC">
      <w:rPr>
        <w:rFonts w:ascii="Times New Roman" w:hAnsi="Times New Roman" w:cs="Times New Roman"/>
        <w:b/>
        <w:sz w:val="24"/>
        <w:u w:val="single"/>
      </w:rPr>
      <w:t>NOTICE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9495E"/>
    <w:multiLevelType w:val="hybridMultilevel"/>
    <w:tmpl w:val="E2406F04"/>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num w:numId="1" w16cid:durableId="289361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E5"/>
    <w:rsid w:val="00056460"/>
    <w:rsid w:val="000777D4"/>
    <w:rsid w:val="000A244A"/>
    <w:rsid w:val="00330C5F"/>
    <w:rsid w:val="00356FF4"/>
    <w:rsid w:val="004900F8"/>
    <w:rsid w:val="0059263B"/>
    <w:rsid w:val="005C5AE3"/>
    <w:rsid w:val="005D501F"/>
    <w:rsid w:val="005F64B9"/>
    <w:rsid w:val="00604B97"/>
    <w:rsid w:val="00714CB5"/>
    <w:rsid w:val="007172CA"/>
    <w:rsid w:val="007F561B"/>
    <w:rsid w:val="00802813"/>
    <w:rsid w:val="008B062F"/>
    <w:rsid w:val="00A81DB1"/>
    <w:rsid w:val="00AA5B75"/>
    <w:rsid w:val="00AE1850"/>
    <w:rsid w:val="00AE1B32"/>
    <w:rsid w:val="00B07ED5"/>
    <w:rsid w:val="00BA4EE5"/>
    <w:rsid w:val="00BE42AC"/>
    <w:rsid w:val="00C112C2"/>
    <w:rsid w:val="00C124A0"/>
    <w:rsid w:val="00C30E0C"/>
    <w:rsid w:val="00D41807"/>
    <w:rsid w:val="00E67AD0"/>
    <w:rsid w:val="00EE0868"/>
    <w:rsid w:val="00F91308"/>
    <w:rsid w:val="00FB6DE1"/>
    <w:rsid w:val="00FC7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38448"/>
  <w15:chartTrackingRefBased/>
  <w15:docId w15:val="{A15B353F-5DD1-4E3D-9CEB-30EA4EE0A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E42AC"/>
    <w:pPr>
      <w:widowControl w:val="0"/>
      <w:autoSpaceDE w:val="0"/>
      <w:autoSpaceDN w:val="0"/>
      <w:spacing w:before="10" w:after="0" w:line="240" w:lineRule="auto"/>
      <w:ind w:left="20" w:right="17"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E42A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E42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2AC"/>
  </w:style>
  <w:style w:type="paragraph" w:styleId="Footer">
    <w:name w:val="footer"/>
    <w:basedOn w:val="Normal"/>
    <w:link w:val="FooterChar"/>
    <w:uiPriority w:val="99"/>
    <w:unhideWhenUsed/>
    <w:rsid w:val="00BE42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531</Words>
  <Characters>3062</Characters>
  <Application>Microsoft Office Word</Application>
  <DocSecurity>0</DocSecurity>
  <Lines>39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Alzobaidey</dc:creator>
  <cp:keywords/>
  <dc:description/>
  <cp:lastModifiedBy>Ashley Mendelsohn</cp:lastModifiedBy>
  <cp:revision>6</cp:revision>
  <cp:lastPrinted>2025-10-22T20:58:00Z</cp:lastPrinted>
  <dcterms:created xsi:type="dcterms:W3CDTF">2025-10-22T16:22:00Z</dcterms:created>
  <dcterms:modified xsi:type="dcterms:W3CDTF">2025-10-22T20:59:00Z</dcterms:modified>
</cp:coreProperties>
</file>